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Текст"/>
        <w:spacing w:after="0" w:line="360" w:lineRule="auto"/>
        <w:jc w:val="righ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Романова Анастасия Алексеевна</w:t>
      </w:r>
    </w:p>
    <w:p>
      <w:pPr>
        <w:pStyle w:val="Текст"/>
        <w:spacing w:after="0" w:line="360" w:lineRule="auto"/>
        <w:jc w:val="right"/>
        <w:rPr>
          <w:rFonts w:ascii="Times New Roman" w:cs="Times New Roman" w:hAnsi="Times New Roman" w:eastAsia="Times New Roman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 xml:space="preserve">Студентка </w:t>
      </w:r>
      <w:r>
        <w:rPr>
          <w:rFonts w:ascii="Times New Roman" w:hAnsi="Times New Roman"/>
          <w:color w:val="000000"/>
          <w:sz w:val="28"/>
          <w:szCs w:val="28"/>
          <w:u w:color="000000"/>
          <w:shd w:val="clear" w:color="auto" w:fill="ffffff"/>
          <w:rtl w:val="0"/>
        </w:rPr>
        <w:t xml:space="preserve">310 </w:t>
      </w:r>
      <w:r>
        <w:rPr>
          <w:rFonts w:ascii="Times New Roman" w:hAnsi="Times New Roman" w:hint="default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группы факультета экономики и финансов</w:t>
      </w:r>
    </w:p>
    <w:p>
      <w:pPr>
        <w:pStyle w:val="Текст"/>
        <w:spacing w:after="0"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РГАУ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МСХА имени 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Тимирязева</w:t>
      </w:r>
    </w:p>
    <w:p>
      <w:pPr>
        <w:pStyle w:val="Текст"/>
        <w:spacing w:after="0" w:line="360" w:lineRule="auto"/>
        <w:jc w:val="right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Научный руководитель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Катков Ю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доцент </w:t>
      </w:r>
    </w:p>
    <w:p>
      <w:pPr>
        <w:pStyle w:val="Текст"/>
        <w:spacing w:after="0" w:line="360" w:lineRule="auto"/>
        <w:jc w:val="center"/>
        <w:rPr>
          <w:rFonts w:ascii="Times New Roman" w:cs="Times New Roman" w:hAnsi="Times New Roman" w:eastAsia="Times New Roman"/>
          <w:b w:val="1"/>
          <w:bCs w:val="1"/>
          <w:color w:val="000000"/>
          <w:sz w:val="28"/>
          <w:szCs w:val="28"/>
          <w:u w:color="000000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color w:val="000000"/>
          <w:sz w:val="28"/>
          <w:szCs w:val="28"/>
          <w:u w:color="000000"/>
          <w:shd w:val="clear" w:color="auto" w:fill="ffffff"/>
          <w:rtl w:val="0"/>
          <w:lang w:val="ru-RU"/>
        </w:rPr>
        <w:t>Межфирменное сотрудничество как залог обеспечения экономической безопасности организации</w:t>
      </w:r>
    </w:p>
    <w:p>
      <w:pPr>
        <w:pStyle w:val="Текст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  <w:shd w:val="clear" w:color="auto" w:fill="ffffff"/>
        </w:rPr>
      </w:pP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Динамичность экономики и кризисы «оголяют» проблемные места современного предпринимательства в рамках интеграционных процессов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ч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в контексте межфирменных отношений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 </w:t>
      </w:r>
      <w:r>
        <w:rPr>
          <w:rFonts w:ascii="Times New Roman" w:hAnsi="Times New Roman"/>
          <w:sz w:val="28"/>
          <w:szCs w:val="28"/>
          <w:rtl w:val="0"/>
          <w:lang w:val="pt-PT"/>
        </w:rPr>
        <w:t>[1]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Одним из способов поддержания устойчивости фирмы является синергетический эффект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как результат бизнес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-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сотрудничества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</w:p>
    <w:p>
      <w:pPr>
        <w:pStyle w:val="Текст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Большая доля слияний и поглощений приходится на металлургию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Фундаментом развития многих отраслей является черная металлургия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которая испытывает конкуренцию со стороны альтернативных материалов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чем объясняется высокая концентрация отрасли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Политика партнерства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 в металлургии распространенное явление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ему уделяется особое внимание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Можно предложить альтернативную модель взаимодействия фирм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основе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которой информационные потоки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малый и большой круг</w:t>
      </w:r>
      <w:r>
        <w:rPr>
          <w:rFonts w:ascii="Times New Roman" w:hAnsi="Times New Roman"/>
          <w:sz w:val="28"/>
          <w:szCs w:val="28"/>
          <w:rtl w:val="0"/>
          <w:lang w:val="pt-PT"/>
        </w:rPr>
        <w:t xml:space="preserve"> [2].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Информация циркулирующая во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внешней среде– большой круг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в мезоуровне – малый круг</w:t>
      </w:r>
      <w:r>
        <w:rPr>
          <w:rFonts w:ascii="Times New Roman" w:hAnsi="Times New Roman"/>
          <w:sz w:val="28"/>
          <w:szCs w:val="28"/>
          <w:rtl w:val="0"/>
        </w:rPr>
        <w:t xml:space="preserve">. 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Данных поступают в подкомитеты</w:t>
      </w:r>
      <w:r>
        <w:rPr>
          <w:rFonts w:ascii="Times New Roman" w:hAnsi="Times New Roman"/>
          <w:sz w:val="28"/>
          <w:szCs w:val="28"/>
          <w:rtl w:val="0"/>
        </w:rPr>
        <w:t xml:space="preserve">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сферам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продаж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поставок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охраны окружающей среды и НИОКР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Модель универсальна и учитывает интересы всех сторон партнерства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способствует обеспечению экономической безопасности отдельной фирмы в контексте межфирменного сотрудничества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Текст"/>
        <w:spacing w:after="0" w:line="36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Список литературы</w:t>
      </w:r>
    </w:p>
    <w:p>
      <w:pPr>
        <w:pStyle w:val="Текст"/>
        <w:spacing w:after="0" w:line="360" w:lineRule="auto"/>
        <w:ind w:firstLine="709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Андерсен Б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Бизнес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процессы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Инструменты совершенствования</w:t>
      </w:r>
      <w:r>
        <w:rPr>
          <w:rFonts w:ascii="Times New Roman" w:hAnsi="Times New Roman"/>
          <w:sz w:val="28"/>
          <w:szCs w:val="28"/>
          <w:rtl w:val="0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англ</w:t>
      </w:r>
      <w:r>
        <w:rPr>
          <w:rFonts w:ascii="Times New Roman" w:hAnsi="Times New Roman"/>
          <w:sz w:val="28"/>
          <w:szCs w:val="28"/>
          <w:rtl w:val="0"/>
        </w:rPr>
        <w:t xml:space="preserve">. /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Науч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ред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Ю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Адлер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– М</w:t>
      </w:r>
      <w:r>
        <w:rPr>
          <w:rFonts w:ascii="Times New Roman" w:hAnsi="Times New Roman"/>
          <w:sz w:val="28"/>
          <w:szCs w:val="28"/>
          <w:rtl w:val="0"/>
        </w:rPr>
        <w:t xml:space="preserve">.: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РИА «Стандарты и качество»</w:t>
      </w:r>
      <w:r>
        <w:rPr>
          <w:rFonts w:ascii="Times New Roman" w:hAnsi="Times New Roman"/>
          <w:sz w:val="28"/>
          <w:szCs w:val="28"/>
          <w:rtl w:val="0"/>
        </w:rPr>
        <w:t xml:space="preserve">, 2003.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rtl w:val="0"/>
        </w:rPr>
        <w:t xml:space="preserve">272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</w:p>
    <w:p>
      <w:pPr>
        <w:pStyle w:val="Текст"/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Хоружий Л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.,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Катков Ю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Н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Межорганизационные системы управленческого учета в агросфере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//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Бухучет в сельском хозяйстве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2012.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– №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– С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. 35</w:t>
      </w:r>
      <w:r>
        <w:rPr>
          <w:rFonts w:ascii="Times New Roman" w:hAnsi="Times New Roman" w:hint="default"/>
          <w:sz w:val="28"/>
          <w:szCs w:val="28"/>
          <w:shd w:val="clear" w:color="auto" w:fill="ffffff"/>
          <w:rtl w:val="0"/>
          <w:lang w:val="ru-RU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  <w:rtl w:val="0"/>
        </w:rPr>
        <w:t>41.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">
    <w:name w:val="Текст"/>
    <w:next w:val="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